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1" w:firstLineChars="50"/>
        <w:jc w:val="left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Times New Roman" w:hAnsi="Times New Roman" w:eastAsia="黑体"/>
          <w:b/>
          <w:sz w:val="30"/>
          <w:szCs w:val="30"/>
        </w:rPr>
        <w:t>报告编号：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val="en-US" w:eastAsia="zh-CN"/>
        </w:rPr>
        <w:t>A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 w:eastAsia="黑体"/>
          <w:b/>
          <w:bCs w:val="0"/>
          <w:sz w:val="30"/>
          <w:szCs w:val="30"/>
        </w:rPr>
        <w:t>201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/>
          <w:b/>
          <w:bCs w:val="0"/>
          <w:sz w:val="30"/>
          <w:szCs w:val="30"/>
          <w:vertAlign w:val="baseline"/>
          <w:lang w:val="en-US" w:eastAsia="zh-CN"/>
        </w:rPr>
        <w:t>691275440</w:t>
      </w:r>
      <w:r>
        <w:rPr>
          <w:rFonts w:ascii="Times New Roman" w:hAnsi="Times New Roman" w:eastAsia="黑体"/>
          <w:b/>
          <w:bCs w:val="0"/>
          <w:sz w:val="30"/>
          <w:szCs w:val="30"/>
        </w:rPr>
        <w:t xml:space="preserve">-01 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before="120" w:line="360" w:lineRule="auto"/>
        <w:jc w:val="center"/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  <w:t>浙江天能电源材料有限公司</w:t>
      </w:r>
    </w:p>
    <w:p>
      <w:pPr>
        <w:spacing w:before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201</w:t>
      </w: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7</w:t>
      </w:r>
      <w:r>
        <w:rPr>
          <w:rFonts w:ascii="Times New Roman" w:hAnsi="Times New Roman" w:eastAsia="黑体"/>
          <w:b/>
          <w:sz w:val="44"/>
          <w:szCs w:val="44"/>
        </w:rPr>
        <w:t>年度</w:t>
      </w:r>
    </w:p>
    <w:p>
      <w:pPr>
        <w:spacing w:before="120" w:line="360" w:lineRule="auto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温室气体排放报告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rPr>
          <w:rFonts w:ascii="Times New Roman" w:hAnsi="Times New Roman" w:eastAsia="黑体"/>
          <w:b/>
          <w:sz w:val="52"/>
        </w:rPr>
      </w:pPr>
    </w:p>
    <w:p>
      <w:pPr>
        <w:spacing w:before="120" w:line="360" w:lineRule="auto"/>
        <w:ind w:left="1050" w:leftChars="500" w:firstLine="160" w:firstLineChars="50"/>
        <w:rPr>
          <w:rFonts w:ascii="Times New Roman" w:hAnsi="Times New Roman" w:eastAsia="黑体"/>
          <w:kern w:val="24"/>
          <w:sz w:val="32"/>
          <w:szCs w:val="32"/>
        </w:rPr>
      </w:pPr>
    </w:p>
    <w:p>
      <w:pPr>
        <w:spacing w:before="120" w:line="360" w:lineRule="auto"/>
        <w:ind w:firstLine="1600" w:firstLineChars="500"/>
        <w:rPr>
          <w:rFonts w:ascii="Times New Roman" w:hAnsi="Times New Roman" w:eastAsia="黑体"/>
          <w:kern w:val="24"/>
          <w:sz w:val="32"/>
          <w:szCs w:val="32"/>
        </w:rPr>
      </w:pP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编制单位</w:t>
      </w:r>
      <w:r>
        <w:rPr>
          <w:rFonts w:ascii="Times New Roman" w:hAnsi="Times New Roman" w:eastAsia="黑体"/>
          <w:kern w:val="24"/>
          <w:sz w:val="32"/>
          <w:szCs w:val="32"/>
        </w:rPr>
        <w:t>：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浙江天能电源材料有限公司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  </w:t>
      </w:r>
    </w:p>
    <w:p>
      <w:pPr>
        <w:ind w:firstLine="1600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kern w:val="24"/>
          <w:sz w:val="32"/>
          <w:szCs w:val="32"/>
          <w:lang w:val="en-US" w:eastAsia="zh-CN"/>
        </w:rPr>
        <w:t>编制日期</w:t>
      </w:r>
      <w:r>
        <w:rPr>
          <w:rFonts w:ascii="Times New Roman" w:hAnsi="Times New Roman" w:eastAsia="黑体"/>
          <w:b/>
          <w:bCs/>
          <w:kern w:val="24"/>
          <w:sz w:val="32"/>
          <w:szCs w:val="32"/>
        </w:rPr>
        <w:t>:</w:t>
      </w:r>
      <w:r>
        <w:rPr>
          <w:rFonts w:ascii="Times New Roman" w:hAnsi="Times New Roman" w:eastAsia="黑体"/>
          <w:b w:val="0"/>
          <w:bCs w:val="0"/>
          <w:kern w:val="24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/>
          <w:kern w:val="24"/>
          <w:sz w:val="32"/>
          <w:szCs w:val="32"/>
        </w:rPr>
        <w:t>201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黑体"/>
          <w:kern w:val="24"/>
          <w:sz w:val="32"/>
          <w:szCs w:val="32"/>
        </w:rPr>
        <w:t>年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kern w:val="24"/>
          <w:sz w:val="32"/>
          <w:szCs w:val="32"/>
        </w:rPr>
        <w:t>月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日    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浙江省其他有色金属冶炼和压延加工业企业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温室气体排放报告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报告主体：浙江天能电源材料有限公司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报告年度：2017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编制日期：2018年4月 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/>
          <w:lang w:val="en-US" w:eastAsia="zh-CN"/>
        </w:rPr>
        <w:t>本报告主体包含1个行业，其在2017年度温室气体排放总量为7299.62吨CO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当量，根据国家发展和改革委员会发布的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  <w:lang w:val="en-US" w:eastAsia="zh-CN"/>
        </w:rPr>
        <w:t>核算了企业温室气体排放量，并填写了相关数据表格。现将有关情况报告如下：</w:t>
      </w: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企业基本情况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84"/>
        <w:gridCol w:w="1559"/>
        <w:gridCol w:w="202"/>
        <w:gridCol w:w="965"/>
        <w:gridCol w:w="527"/>
        <w:gridCol w:w="863"/>
        <w:gridCol w:w="79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报告主体名称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浙江天能电源材料有限公司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报告年度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机械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行业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3849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691275440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杨建芬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浙江省湖州市长兴县</w:t>
            </w:r>
            <w:r>
              <w:rPr>
                <w:rFonts w:hint="eastAsia" w:ascii="Arial" w:hAnsi="Arial" w:cs="Arial"/>
                <w:bCs/>
                <w:szCs w:val="21"/>
                <w:u w:val="none"/>
                <w:lang w:val="en-US" w:eastAsia="zh-CN"/>
              </w:rPr>
              <w:t>和平镇上概村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填报负责人</w:t>
            </w: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陈甦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797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电子邮 箱</w:t>
            </w:r>
          </w:p>
        </w:tc>
        <w:tc>
          <w:tcPr>
            <w:tcW w:w="136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385126435@qq.com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spacing w:line="276" w:lineRule="auto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15968236700</w:t>
            </w:r>
          </w:p>
        </w:tc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报告主体边界说明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以企业法人为边界，进行核算和报告生产系统产生的温室气体排放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产能或产值变化说明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2017年工业总产值为264672万元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温室气体排放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报告主体在2017年度温室气体排放总量为</w:t>
      </w:r>
      <w:r>
        <w:rPr>
          <w:rFonts w:hint="eastAsia"/>
          <w:lang w:val="en-US" w:eastAsia="zh-CN"/>
        </w:rPr>
        <w:t>7299.62</w:t>
      </w:r>
      <w:r>
        <w:rPr>
          <w:rFonts w:hint="eastAsia" w:ascii="Times New Roman" w:hAnsi="Times New Roman"/>
          <w:szCs w:val="21"/>
          <w:lang w:val="en-US" w:eastAsia="zh-CN"/>
        </w:rPr>
        <w:t>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，其中化石燃料燃烧排放量为3067.93吨CO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，过程排放量为0吨CO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，净购入使用的电力、热力产生的排放量为4231.69吨CO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活动水平数据及来源说明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外购天然气、电力以公司2017年度实际消耗量作为数据来源。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排放因子数据采用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val="en-US" w:eastAsia="zh-CN"/>
        </w:rPr>
        <w:t>的推荐值。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附表1 报告主体温室气体排放总量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vertAlign w:val="baseline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34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其他有色金属冶炼和压延加工业企业温室气体排放汇总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4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当量（t）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7299.62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燃料燃烧排放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3067.93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不同种类化石燃料燃烧CO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3067.93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净购入电力、热力消费产生的排放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4231.69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4231.69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净购入热力产生的CO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附表2 报告主体活动水平相关数据一览表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74"/>
        <w:gridCol w:w="1509"/>
        <w:gridCol w:w="1732"/>
        <w:gridCol w:w="1064"/>
        <w:gridCol w:w="1138"/>
        <w:gridCol w:w="90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20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其他有色金属冶炼和压延加工业企业不同种类化石燃料燃烧的CO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燃烧量（万Nm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低位发热量(GJ/万Nm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单位热值含碳量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 C/GJ）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碳氧化率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（%）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折算因子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天然气</w:t>
            </w: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141.89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389.31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0.0153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99%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44/12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3067.93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90"/>
        <w:gridCol w:w="1290"/>
        <w:gridCol w:w="1480"/>
        <w:gridCol w:w="2456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其他有色金属冶炼和压延加工业企业净购入电力的隐含CO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净购入使用量（MWh）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购入量（MWh）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外销量（MWH）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排放因子（tCO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/MWh）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电力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6015.2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6015.2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0.7035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4231.69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BF18"/>
    <w:multiLevelType w:val="singleLevel"/>
    <w:tmpl w:val="59FBBF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0668"/>
    <w:rsid w:val="06D57A7A"/>
    <w:rsid w:val="0F1612EE"/>
    <w:rsid w:val="0F2F1B06"/>
    <w:rsid w:val="112662F8"/>
    <w:rsid w:val="13A003C9"/>
    <w:rsid w:val="18D37EE5"/>
    <w:rsid w:val="1E020668"/>
    <w:rsid w:val="1FCF63E8"/>
    <w:rsid w:val="2554461D"/>
    <w:rsid w:val="2B211537"/>
    <w:rsid w:val="2B874C17"/>
    <w:rsid w:val="333C566F"/>
    <w:rsid w:val="36511C99"/>
    <w:rsid w:val="36DB68DC"/>
    <w:rsid w:val="38884AC3"/>
    <w:rsid w:val="39112556"/>
    <w:rsid w:val="3AD655A4"/>
    <w:rsid w:val="3CA46AE4"/>
    <w:rsid w:val="3DBE5050"/>
    <w:rsid w:val="4BBD3512"/>
    <w:rsid w:val="4F924803"/>
    <w:rsid w:val="4FED6451"/>
    <w:rsid w:val="53CB2D15"/>
    <w:rsid w:val="56F75915"/>
    <w:rsid w:val="5ADA0E11"/>
    <w:rsid w:val="5D5A5381"/>
    <w:rsid w:val="65DE6F79"/>
    <w:rsid w:val="6750712E"/>
    <w:rsid w:val="6B8F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2017-11-03T00:49:00Z</dcterms:created>
  <dc:creator>朱蕾</dc:creator>
  <cp:lastModifiedBy>朱蕾</cp:lastModifiedBy>
  <dcterms:modified xsi:type="dcterms:W3CDTF">2019-03-20T07:37:55Z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