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51" w:firstLineChars="50"/>
        <w:jc w:val="left"/>
        <w:rPr>
          <w:rFonts w:ascii="Times New Roman" w:hAnsi="Times New Roman" w:eastAsia="黑体"/>
          <w:b/>
          <w:sz w:val="30"/>
          <w:szCs w:val="30"/>
        </w:rPr>
      </w:pPr>
      <w:r>
        <w:rPr>
          <w:rFonts w:ascii="Times New Roman" w:hAnsi="Times New Roman" w:eastAsia="黑体"/>
          <w:b/>
          <w:sz w:val="30"/>
          <w:szCs w:val="30"/>
        </w:rPr>
        <w:t>报告编号：</w:t>
      </w:r>
      <w:r>
        <w:rPr>
          <w:rFonts w:hint="eastAsia" w:ascii="Times New Roman" w:hAnsi="Times New Roman" w:eastAsia="黑体"/>
          <w:b/>
          <w:bCs w:val="0"/>
          <w:sz w:val="30"/>
          <w:szCs w:val="30"/>
          <w:lang w:val="en-US" w:eastAsia="zh-CN"/>
        </w:rPr>
        <w:t>A</w:t>
      </w:r>
      <w:r>
        <w:rPr>
          <w:rFonts w:ascii="Times New Roman" w:hAnsi="Times New Roman" w:eastAsia="黑体"/>
          <w:b/>
          <w:bCs w:val="0"/>
          <w:sz w:val="30"/>
          <w:szCs w:val="30"/>
        </w:rPr>
        <w:t>-</w:t>
      </w:r>
      <w:r>
        <w:rPr>
          <w:rFonts w:hint="eastAsia" w:ascii="Times New Roman" w:hAnsi="Times New Roman" w:eastAsia="黑体"/>
          <w:b/>
          <w:bCs w:val="0"/>
          <w:sz w:val="30"/>
          <w:szCs w:val="30"/>
        </w:rPr>
        <w:t>201</w:t>
      </w:r>
      <w:r>
        <w:rPr>
          <w:rFonts w:hint="eastAsia" w:ascii="Times New Roman" w:hAnsi="Times New Roman" w:eastAsia="黑体"/>
          <w:b/>
          <w:bCs w:val="0"/>
          <w:sz w:val="30"/>
          <w:szCs w:val="30"/>
          <w:lang w:val="en-US" w:eastAsia="zh-CN"/>
        </w:rPr>
        <w:t>6</w:t>
      </w:r>
      <w:r>
        <w:rPr>
          <w:rFonts w:ascii="Times New Roman" w:hAnsi="Times New Roman" w:eastAsia="黑体"/>
          <w:b/>
          <w:bCs w:val="0"/>
          <w:sz w:val="30"/>
          <w:szCs w:val="30"/>
        </w:rPr>
        <w:t>-</w:t>
      </w:r>
      <w:r>
        <w:rPr>
          <w:rFonts w:hint="eastAsia" w:ascii="Times New Roman" w:hAnsi="Times New Roman"/>
          <w:b/>
          <w:bCs w:val="0"/>
          <w:sz w:val="30"/>
          <w:szCs w:val="30"/>
          <w:vertAlign w:val="baseline"/>
          <w:lang w:val="en-US" w:eastAsia="zh-CN"/>
        </w:rPr>
        <w:t>691275440</w:t>
      </w:r>
      <w:r>
        <w:rPr>
          <w:rFonts w:ascii="Times New Roman" w:hAnsi="Times New Roman" w:eastAsia="黑体"/>
          <w:b/>
          <w:bCs w:val="0"/>
          <w:sz w:val="30"/>
          <w:szCs w:val="30"/>
        </w:rPr>
        <w:t xml:space="preserve">-01 </w:t>
      </w: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rPr>
          <w:rFonts w:ascii="Times New Roman" w:hAnsi="Times New Roman"/>
          <w:b/>
          <w:sz w:val="52"/>
        </w:rPr>
      </w:pPr>
    </w:p>
    <w:p>
      <w:pPr>
        <w:spacing w:line="360" w:lineRule="auto"/>
        <w:rPr>
          <w:rFonts w:ascii="Times New Roman" w:hAnsi="Times New Roman"/>
          <w:b/>
          <w:sz w:val="52"/>
        </w:rPr>
      </w:pPr>
    </w:p>
    <w:p>
      <w:pPr>
        <w:spacing w:before="120" w:line="360" w:lineRule="auto"/>
        <w:jc w:val="center"/>
        <w:rPr>
          <w:rFonts w:hint="eastAsia" w:ascii="Times New Roman" w:hAnsi="Times New Roman" w:eastAsia="黑体"/>
          <w:b/>
          <w:w w:val="90"/>
          <w:sz w:val="44"/>
          <w:szCs w:val="44"/>
          <w:lang w:eastAsia="zh-CN"/>
        </w:rPr>
      </w:pPr>
      <w:r>
        <w:rPr>
          <w:rFonts w:hint="eastAsia" w:ascii="Times New Roman" w:hAnsi="Times New Roman" w:eastAsia="黑体"/>
          <w:b/>
          <w:w w:val="90"/>
          <w:sz w:val="44"/>
          <w:szCs w:val="44"/>
          <w:lang w:eastAsia="zh-CN"/>
        </w:rPr>
        <w:t>浙江天能电源材料有限公司</w:t>
      </w:r>
    </w:p>
    <w:p>
      <w:pPr>
        <w:spacing w:before="120" w:line="36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 w:eastAsia="黑体"/>
          <w:b/>
          <w:sz w:val="44"/>
          <w:szCs w:val="44"/>
        </w:rPr>
        <w:t>201</w:t>
      </w:r>
      <w:r>
        <w:rPr>
          <w:rFonts w:hint="eastAsia" w:ascii="Times New Roman" w:hAnsi="Times New Roman" w:eastAsia="黑体"/>
          <w:b/>
          <w:sz w:val="44"/>
          <w:szCs w:val="44"/>
          <w:lang w:val="en-US" w:eastAsia="zh-CN"/>
        </w:rPr>
        <w:t>6</w:t>
      </w:r>
      <w:r>
        <w:rPr>
          <w:rFonts w:ascii="Times New Roman" w:hAnsi="Times New Roman" w:eastAsia="黑体"/>
          <w:b/>
          <w:sz w:val="44"/>
          <w:szCs w:val="44"/>
        </w:rPr>
        <w:t>年度</w:t>
      </w:r>
    </w:p>
    <w:p>
      <w:pPr>
        <w:spacing w:before="120" w:line="360" w:lineRule="auto"/>
        <w:jc w:val="center"/>
        <w:rPr>
          <w:rFonts w:ascii="Times New Roman" w:hAnsi="Times New Roman" w:eastAsia="黑体"/>
          <w:b/>
          <w:sz w:val="44"/>
          <w:szCs w:val="44"/>
        </w:rPr>
      </w:pPr>
      <w:r>
        <w:rPr>
          <w:rFonts w:ascii="Times New Roman" w:hAnsi="Times New Roman" w:eastAsia="黑体"/>
          <w:b/>
          <w:sz w:val="44"/>
          <w:szCs w:val="44"/>
        </w:rPr>
        <w:t>温室气体排放报告</w:t>
      </w:r>
    </w:p>
    <w:p>
      <w:pPr>
        <w:spacing w:line="360" w:lineRule="auto"/>
        <w:jc w:val="center"/>
        <w:rPr>
          <w:rFonts w:ascii="Times New Roman" w:hAnsi="Times New Roman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jc w:val="center"/>
        <w:rPr>
          <w:rFonts w:ascii="Times New Roman" w:hAnsi="Times New Roman" w:eastAsia="黑体"/>
          <w:b/>
          <w:sz w:val="52"/>
        </w:rPr>
      </w:pPr>
    </w:p>
    <w:p>
      <w:pPr>
        <w:spacing w:line="360" w:lineRule="auto"/>
        <w:rPr>
          <w:rFonts w:ascii="Times New Roman" w:hAnsi="Times New Roman" w:eastAsia="黑体"/>
          <w:b/>
          <w:sz w:val="52"/>
        </w:rPr>
      </w:pPr>
    </w:p>
    <w:p>
      <w:pPr>
        <w:spacing w:before="120" w:line="360" w:lineRule="auto"/>
        <w:ind w:left="1050" w:leftChars="500" w:firstLine="160" w:firstLineChars="50"/>
        <w:rPr>
          <w:rFonts w:ascii="Times New Roman" w:hAnsi="Times New Roman" w:eastAsia="黑体"/>
          <w:kern w:val="24"/>
          <w:sz w:val="32"/>
          <w:szCs w:val="32"/>
        </w:rPr>
      </w:pPr>
    </w:p>
    <w:p>
      <w:pPr>
        <w:spacing w:before="120" w:line="360" w:lineRule="auto"/>
        <w:ind w:firstLine="1600" w:firstLineChars="500"/>
        <w:rPr>
          <w:rFonts w:ascii="Times New Roman" w:hAnsi="Times New Roman" w:eastAsia="黑体"/>
          <w:kern w:val="24"/>
          <w:sz w:val="32"/>
          <w:szCs w:val="32"/>
        </w:rPr>
      </w:pP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编制单位</w:t>
      </w:r>
      <w:r>
        <w:rPr>
          <w:rFonts w:ascii="Times New Roman" w:hAnsi="Times New Roman" w:eastAsia="黑体"/>
          <w:kern w:val="24"/>
          <w:sz w:val="32"/>
          <w:szCs w:val="32"/>
        </w:rPr>
        <w:t>：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浙江天能电源材料有限公司</w:t>
      </w:r>
      <w:r>
        <w:rPr>
          <w:rFonts w:ascii="Times New Roman" w:hAnsi="Times New Roman" w:eastAsia="黑体"/>
          <w:kern w:val="24"/>
          <w:sz w:val="32"/>
          <w:szCs w:val="32"/>
        </w:rPr>
        <w:t xml:space="preserve">  </w:t>
      </w:r>
    </w:p>
    <w:p>
      <w:pPr>
        <w:ind w:firstLine="1600" w:firstLineChars="500"/>
        <w:jc w:val="both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/>
          <w:b w:val="0"/>
          <w:bCs w:val="0"/>
          <w:kern w:val="24"/>
          <w:sz w:val="32"/>
          <w:szCs w:val="32"/>
          <w:lang w:val="en-US" w:eastAsia="zh-CN"/>
        </w:rPr>
        <w:t>编制日期</w:t>
      </w:r>
      <w:r>
        <w:rPr>
          <w:rFonts w:ascii="Times New Roman" w:hAnsi="Times New Roman" w:eastAsia="黑体"/>
          <w:b/>
          <w:bCs/>
          <w:kern w:val="24"/>
          <w:sz w:val="32"/>
          <w:szCs w:val="32"/>
        </w:rPr>
        <w:t>:</w:t>
      </w:r>
      <w:r>
        <w:rPr>
          <w:rFonts w:ascii="Times New Roman" w:hAnsi="Times New Roman" w:eastAsia="黑体"/>
          <w:b w:val="0"/>
          <w:bCs w:val="0"/>
          <w:kern w:val="24"/>
          <w:sz w:val="32"/>
          <w:szCs w:val="32"/>
        </w:rPr>
        <w:t xml:space="preserve"> 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 xml:space="preserve"> </w:t>
      </w:r>
      <w:r>
        <w:rPr>
          <w:rFonts w:ascii="Times New Roman" w:hAnsi="Times New Roman" w:eastAsia="黑体"/>
          <w:kern w:val="24"/>
          <w:sz w:val="32"/>
          <w:szCs w:val="32"/>
        </w:rPr>
        <w:t>201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8</w:t>
      </w:r>
      <w:r>
        <w:rPr>
          <w:rFonts w:ascii="Times New Roman" w:hAnsi="Times New Roman" w:eastAsia="黑体"/>
          <w:kern w:val="24"/>
          <w:sz w:val="32"/>
          <w:szCs w:val="32"/>
        </w:rPr>
        <w:t>年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黑体"/>
          <w:kern w:val="24"/>
          <w:sz w:val="32"/>
          <w:szCs w:val="32"/>
        </w:rPr>
        <w:t>月</w:t>
      </w:r>
      <w:r>
        <w:rPr>
          <w:rFonts w:hint="eastAsia" w:ascii="Times New Roman" w:hAnsi="Times New Roman" w:eastAsia="黑体"/>
          <w:kern w:val="24"/>
          <w:sz w:val="32"/>
          <w:szCs w:val="32"/>
          <w:lang w:val="en-US" w:eastAsia="zh-CN"/>
        </w:rPr>
        <w:t>26</w:t>
      </w:r>
      <w:r>
        <w:rPr>
          <w:rFonts w:ascii="Times New Roman" w:hAnsi="Times New Roman" w:eastAsia="黑体"/>
          <w:kern w:val="24"/>
          <w:sz w:val="32"/>
          <w:szCs w:val="32"/>
        </w:rPr>
        <w:t xml:space="preserve">日     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浙江省其他有色金属冶炼和压延加工业企业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温室气体排放报告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报告主体：浙江天能电源材料有限公司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报告年度：2016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编制日期：2018年4月 </w:t>
      </w:r>
    </w:p>
    <w:p>
      <w:pPr>
        <w:rPr>
          <w:rFonts w:hint="eastAsia"/>
          <w:lang w:val="en-US" w:eastAsia="zh-CN"/>
        </w:rPr>
      </w:pPr>
    </w:p>
    <w:p>
      <w:p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/>
          <w:lang w:val="en-US" w:eastAsia="zh-CN"/>
        </w:rPr>
        <w:t>本报告主体包含1个行业，其在2016年度温室气体排放总量为7386.03吨CO</w:t>
      </w:r>
      <w:r>
        <w:rPr>
          <w:rFonts w:hint="eastAsia"/>
          <w:vertAlign w:val="subscript"/>
          <w:lang w:val="en-US" w:eastAsia="zh-CN"/>
        </w:rPr>
        <w:t>2</w:t>
      </w:r>
      <w:r>
        <w:rPr>
          <w:rFonts w:hint="eastAsia"/>
          <w:lang w:val="en-US" w:eastAsia="zh-CN"/>
        </w:rPr>
        <w:t>当量，根据国家发展和改革委员会发布的</w:t>
      </w:r>
      <w:r>
        <w:rPr>
          <w:rFonts w:ascii="Times New Roman" w:hAnsi="Times New Roman"/>
          <w:szCs w:val="21"/>
        </w:rPr>
        <w:t>《</w:t>
      </w:r>
      <w:r>
        <w:rPr>
          <w:rFonts w:hint="eastAsia" w:ascii="Times New Roman" w:hAnsi="Times New Roman"/>
          <w:sz w:val="21"/>
          <w:szCs w:val="21"/>
          <w:lang w:eastAsia="zh-CN"/>
        </w:rPr>
        <w:t>其他有色金属冶炼和压延加工业</w:t>
      </w:r>
      <w:r>
        <w:rPr>
          <w:rFonts w:ascii="Times New Roman" w:hAnsi="Times New Roman" w:eastAsiaTheme="minorEastAsia"/>
          <w:sz w:val="21"/>
          <w:szCs w:val="21"/>
        </w:rPr>
        <w:t>企业温室气体排放核算方法与报告指南（试行）</w:t>
      </w:r>
      <w:r>
        <w:rPr>
          <w:rFonts w:ascii="Times New Roman" w:hAnsi="Times New Roman"/>
          <w:szCs w:val="21"/>
        </w:rPr>
        <w:t>》</w:t>
      </w:r>
      <w:r>
        <w:rPr>
          <w:rFonts w:hint="eastAsia" w:ascii="Times New Roman" w:hAnsi="Times New Roman"/>
          <w:szCs w:val="21"/>
          <w:lang w:eastAsia="zh-CN"/>
        </w:rPr>
        <w:t>，</w:t>
      </w:r>
      <w:r>
        <w:rPr>
          <w:rFonts w:hint="eastAsia" w:ascii="Times New Roman" w:hAnsi="Times New Roman"/>
          <w:szCs w:val="21"/>
          <w:lang w:val="en-US" w:eastAsia="zh-CN"/>
        </w:rPr>
        <w:t>核算了企业温室气体排放量，并填写了相关数据表格。现将有关情况报告如下：</w:t>
      </w:r>
    </w:p>
    <w:p>
      <w:p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企业基本情况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84"/>
        <w:gridCol w:w="1559"/>
        <w:gridCol w:w="202"/>
        <w:gridCol w:w="965"/>
        <w:gridCol w:w="527"/>
        <w:gridCol w:w="863"/>
        <w:gridCol w:w="797"/>
        <w:gridCol w:w="13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报告主体名称</w:t>
            </w:r>
          </w:p>
        </w:tc>
        <w:tc>
          <w:tcPr>
            <w:tcW w:w="6959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浙江天能电源材料有限公司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单位性质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有限责任公司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报告年度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所属行业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机械</w:t>
            </w:r>
            <w:r>
              <w:rPr>
                <w:rFonts w:hint="eastAsia" w:ascii="Times New Roman" w:hAnsi="Times New Roman" w:eastAsiaTheme="minorEastAsia"/>
                <w:sz w:val="21"/>
                <w:szCs w:val="21"/>
              </w:rPr>
              <w:t>行业</w:t>
            </w:r>
            <w:r>
              <w:rPr>
                <w:rFonts w:hint="eastAsia" w:ascii="Times New Roman" w:hAnsi="Times New Roman"/>
                <w:sz w:val="21"/>
                <w:szCs w:val="21"/>
                <w:lang w:val="en-US" w:eastAsia="zh-CN"/>
              </w:rPr>
              <w:t>3849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组织机构代码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691275440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445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杨建芬</w:t>
            </w:r>
          </w:p>
        </w:tc>
        <w:tc>
          <w:tcPr>
            <w:tcW w:w="1492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30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0572-6962885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详细地址</w:t>
            </w:r>
          </w:p>
        </w:tc>
        <w:tc>
          <w:tcPr>
            <w:tcW w:w="6959" w:type="dxa"/>
            <w:gridSpan w:val="8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浙江省湖州市长兴县</w:t>
            </w:r>
            <w:r>
              <w:rPr>
                <w:rFonts w:hint="eastAsia" w:ascii="Arial" w:hAnsi="Arial" w:cs="Arial"/>
                <w:bCs/>
                <w:szCs w:val="21"/>
                <w:u w:val="none"/>
                <w:lang w:val="en-US" w:eastAsia="zh-CN"/>
              </w:rPr>
              <w:t>和平镇上概村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填报负责人</w:t>
            </w:r>
          </w:p>
        </w:tc>
        <w:tc>
          <w:tcPr>
            <w:tcW w:w="68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5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陈甦</w:t>
            </w:r>
          </w:p>
        </w:tc>
        <w:tc>
          <w:tcPr>
            <w:tcW w:w="1167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部门/职务</w:t>
            </w:r>
          </w:p>
        </w:tc>
        <w:tc>
          <w:tcPr>
            <w:tcW w:w="1390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行政部</w:t>
            </w:r>
          </w:p>
        </w:tc>
        <w:tc>
          <w:tcPr>
            <w:tcW w:w="797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电子邮 箱</w:t>
            </w:r>
          </w:p>
        </w:tc>
        <w:tc>
          <w:tcPr>
            <w:tcW w:w="1362" w:type="dxa"/>
            <w:vMerge w:val="restart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385126435@qq.com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3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684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传真</w:t>
            </w:r>
          </w:p>
        </w:tc>
        <w:tc>
          <w:tcPr>
            <w:tcW w:w="1559" w:type="dxa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0572-6962885</w:t>
            </w:r>
          </w:p>
        </w:tc>
        <w:tc>
          <w:tcPr>
            <w:tcW w:w="1167" w:type="dxa"/>
            <w:gridSpan w:val="2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手机</w:t>
            </w:r>
          </w:p>
        </w:tc>
        <w:tc>
          <w:tcPr>
            <w:tcW w:w="1390" w:type="dxa"/>
            <w:gridSpan w:val="2"/>
            <w:vAlign w:val="top"/>
          </w:tcPr>
          <w:p>
            <w:pPr>
              <w:spacing w:line="276" w:lineRule="auto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15968236700</w:t>
            </w:r>
          </w:p>
        </w:tc>
        <w:tc>
          <w:tcPr>
            <w:tcW w:w="797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62" w:type="dxa"/>
            <w:vMerge w:val="continue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报告主体边界说明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以企业法人为边界，进行核算和报告生产系统产生的温室气体排放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产能或产值变化说明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  <w:vAlign w:val="top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2016年工业总产值为191023万元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温室气体排放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报告主体在2016年度温室气体排放总量为</w:t>
      </w:r>
      <w:r>
        <w:rPr>
          <w:rFonts w:hint="eastAsia"/>
          <w:lang w:val="en-US" w:eastAsia="zh-CN"/>
        </w:rPr>
        <w:t>7386.03</w:t>
      </w:r>
      <w:r>
        <w:rPr>
          <w:rFonts w:hint="eastAsia" w:ascii="Times New Roman" w:hAnsi="Times New Roman"/>
          <w:szCs w:val="21"/>
          <w:lang w:val="en-US" w:eastAsia="zh-CN"/>
        </w:rPr>
        <w:t>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，其中化石燃料燃烧排放量为3719.18吨CO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，过程排放量为0吨CO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，净购入使用的电力、热力产生的排放量为3666.85吨CO</w:t>
      </w:r>
      <w:r>
        <w:rPr>
          <w:rFonts w:hint="eastAsia" w:ascii="Times New Roman" w:hAnsi="Times New Roman"/>
          <w:szCs w:val="21"/>
          <w:vertAlign w:val="subscript"/>
          <w:lang w:val="en-US" w:eastAsia="zh-CN"/>
        </w:rPr>
        <w:t>2</w:t>
      </w:r>
      <w:r>
        <w:rPr>
          <w:rFonts w:hint="eastAsia" w:ascii="Times New Roman" w:hAnsi="Times New Roman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活动水平数据及来源说明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外购天然气、电力以公司2016年度实际消耗量作为数据来源。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1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排放因子数据及来源说明</w:t>
      </w:r>
    </w:p>
    <w:p>
      <w:pPr>
        <w:numPr>
          <w:ilvl w:val="0"/>
          <w:numId w:val="0"/>
        </w:numPr>
        <w:ind w:firstLine="420" w:firstLineChars="200"/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排放因子数据采用</w:t>
      </w:r>
      <w:r>
        <w:rPr>
          <w:rFonts w:ascii="Times New Roman" w:hAnsi="Times New Roman"/>
          <w:szCs w:val="21"/>
        </w:rPr>
        <w:t>《</w:t>
      </w:r>
      <w:r>
        <w:rPr>
          <w:rFonts w:hint="eastAsia" w:ascii="Times New Roman" w:hAnsi="Times New Roman"/>
          <w:sz w:val="21"/>
          <w:szCs w:val="21"/>
          <w:lang w:eastAsia="zh-CN"/>
        </w:rPr>
        <w:t>其他有色金属冶炼和压延加工业</w:t>
      </w:r>
      <w:r>
        <w:rPr>
          <w:rFonts w:ascii="Times New Roman" w:hAnsi="Times New Roman" w:eastAsiaTheme="minorEastAsia"/>
          <w:sz w:val="21"/>
          <w:szCs w:val="21"/>
        </w:rPr>
        <w:t>企业温室气体排放核算方法与报告指南（试行）</w:t>
      </w:r>
      <w:r>
        <w:rPr>
          <w:rFonts w:ascii="Times New Roman" w:hAnsi="Times New Roman"/>
          <w:szCs w:val="21"/>
        </w:rPr>
        <w:t>》</w:t>
      </w:r>
      <w:r>
        <w:rPr>
          <w:rFonts w:hint="eastAsia" w:ascii="Times New Roman" w:hAnsi="Times New Roman"/>
          <w:szCs w:val="21"/>
          <w:lang w:val="en-US" w:eastAsia="zh-CN"/>
        </w:rPr>
        <w:t>的推荐值。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附表1 报告主体温室气体排放总量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vertAlign w:val="baseline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 xml:space="preserve"> 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3434"/>
        <w:gridCol w:w="2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3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其他有色金属冶炼和压延加工业企业温室气体排放汇总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274" w:type="dxa"/>
            <w:gridSpan w:val="2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当量（t）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合计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7386.03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燃料燃烧排放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3719.18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不同种类化石燃料燃烧CO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3719.18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工业过程排放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工业过程产生的CO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2840" w:type="dxa"/>
            <w:vMerge w:val="restart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净购入电力、热力消费产生的排放</w:t>
            </w: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小计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3666.85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净购入电力产生的CO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3666.85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3434" w:type="dxa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净购入热力产生的CO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  <w:tc>
          <w:tcPr>
            <w:tcW w:w="224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  <w:r>
        <w:rPr>
          <w:rFonts w:hint="eastAsia" w:ascii="Times New Roman" w:hAnsi="Times New Roman"/>
          <w:szCs w:val="21"/>
          <w:lang w:val="en-US" w:eastAsia="zh-CN"/>
        </w:rPr>
        <w:t>附表2 报告主体活动水平相关数据一览表</w:t>
      </w:r>
    </w:p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tbl>
      <w:tblPr>
        <w:tblStyle w:val="3"/>
        <w:tblW w:w="85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5"/>
        <w:gridCol w:w="1274"/>
        <w:gridCol w:w="1509"/>
        <w:gridCol w:w="1732"/>
        <w:gridCol w:w="1064"/>
        <w:gridCol w:w="1138"/>
        <w:gridCol w:w="908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8520" w:type="dxa"/>
            <w:gridSpan w:val="7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其他有色金属冶炼和压延加工业企业不同种类化石燃料燃烧的CO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燃烧量（万Nm</w:t>
            </w:r>
            <w:r>
              <w:rPr>
                <w:rFonts w:hint="eastAsia" w:ascii="Times New Roman" w:hAnsi="Times New Roman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低位发热量(GJ/万Nm</w:t>
            </w:r>
            <w:r>
              <w:rPr>
                <w:rFonts w:hint="eastAsia" w:ascii="Times New Roman" w:hAnsi="Times New Roman"/>
                <w:szCs w:val="21"/>
                <w:vertAlign w:val="superscript"/>
                <w:lang w:val="en-US" w:eastAsia="zh-CN"/>
              </w:rPr>
              <w:t>3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）</w:t>
            </w:r>
          </w:p>
        </w:tc>
        <w:tc>
          <w:tcPr>
            <w:tcW w:w="17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单位热值含碳量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 C/GJ）</w:t>
            </w: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碳氧化率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（%）</w:t>
            </w:r>
          </w:p>
        </w:tc>
        <w:tc>
          <w:tcPr>
            <w:tcW w:w="11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折算因子</w:t>
            </w:r>
          </w:p>
        </w:tc>
        <w:tc>
          <w:tcPr>
            <w:tcW w:w="909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95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天然气</w:t>
            </w:r>
          </w:p>
        </w:tc>
        <w:tc>
          <w:tcPr>
            <w:tcW w:w="127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172.01</w:t>
            </w:r>
          </w:p>
        </w:tc>
        <w:tc>
          <w:tcPr>
            <w:tcW w:w="1509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389.31</w:t>
            </w:r>
          </w:p>
        </w:tc>
        <w:tc>
          <w:tcPr>
            <w:tcW w:w="173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0.0153</w:t>
            </w:r>
          </w:p>
        </w:tc>
        <w:tc>
          <w:tcPr>
            <w:tcW w:w="106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99%</w:t>
            </w:r>
          </w:p>
        </w:tc>
        <w:tc>
          <w:tcPr>
            <w:tcW w:w="1138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44/12</w:t>
            </w:r>
          </w:p>
        </w:tc>
        <w:tc>
          <w:tcPr>
            <w:tcW w:w="909" w:type="dxa"/>
            <w:gridSpan w:val="2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3719.18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290"/>
        <w:gridCol w:w="1290"/>
        <w:gridCol w:w="1480"/>
        <w:gridCol w:w="2456"/>
        <w:gridCol w:w="11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其他有色金属冶炼和压延加工业企业净购入电力的隐含CO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净购入使用量（MWh）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购入量（MWh）</w:t>
            </w:r>
          </w:p>
        </w:tc>
        <w:tc>
          <w:tcPr>
            <w:tcW w:w="14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外销量（MWH）</w:t>
            </w:r>
          </w:p>
        </w:tc>
        <w:tc>
          <w:tcPr>
            <w:tcW w:w="2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净购入CO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排放因子（tCO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/MWh）</w:t>
            </w:r>
          </w:p>
        </w:tc>
        <w:tc>
          <w:tcPr>
            <w:tcW w:w="11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CO</w:t>
            </w:r>
            <w:r>
              <w:rPr>
                <w:rFonts w:hint="eastAsia" w:ascii="Times New Roman" w:hAnsi="Times New Roman"/>
                <w:szCs w:val="21"/>
                <w:vertAlign w:val="subscript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（t）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834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电力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5212.3</w:t>
            </w:r>
          </w:p>
        </w:tc>
        <w:tc>
          <w:tcPr>
            <w:tcW w:w="129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5212.3</w:t>
            </w:r>
          </w:p>
        </w:tc>
        <w:tc>
          <w:tcPr>
            <w:tcW w:w="1480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</w:t>
            </w:r>
          </w:p>
        </w:tc>
        <w:tc>
          <w:tcPr>
            <w:tcW w:w="2456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0.7035</w:t>
            </w:r>
          </w:p>
        </w:tc>
        <w:tc>
          <w:tcPr>
            <w:tcW w:w="1172" w:type="dxa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/>
                <w:szCs w:val="21"/>
                <w:vertAlign w:val="baseline"/>
                <w:lang w:val="en-US" w:eastAsia="zh-CN"/>
              </w:rPr>
              <w:t>3666.85</w:t>
            </w:r>
          </w:p>
        </w:tc>
      </w:tr>
    </w:tbl>
    <w:p>
      <w:pPr>
        <w:numPr>
          <w:ilvl w:val="0"/>
          <w:numId w:val="0"/>
        </w:numPr>
        <w:rPr>
          <w:rFonts w:hint="eastAsia" w:ascii="Times New Roman" w:hAnsi="Times New Roman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BBF18"/>
    <w:multiLevelType w:val="singleLevel"/>
    <w:tmpl w:val="59FBBF1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020668"/>
    <w:rsid w:val="06D57A7A"/>
    <w:rsid w:val="0F1612EE"/>
    <w:rsid w:val="0F2F1B06"/>
    <w:rsid w:val="112662F8"/>
    <w:rsid w:val="1E020668"/>
    <w:rsid w:val="1FCF63E8"/>
    <w:rsid w:val="2554461D"/>
    <w:rsid w:val="2B211537"/>
    <w:rsid w:val="2B874C17"/>
    <w:rsid w:val="333C566F"/>
    <w:rsid w:val="36511C99"/>
    <w:rsid w:val="36DB68DC"/>
    <w:rsid w:val="38884AC3"/>
    <w:rsid w:val="39112556"/>
    <w:rsid w:val="3AD655A4"/>
    <w:rsid w:val="3CA46AE4"/>
    <w:rsid w:val="3DBE5050"/>
    <w:rsid w:val="4BBD3512"/>
    <w:rsid w:val="4F924803"/>
    <w:rsid w:val="4FED6451"/>
    <w:rsid w:val="53CB2D15"/>
    <w:rsid w:val="56F75915"/>
    <w:rsid w:val="5ADA0E11"/>
    <w:rsid w:val="5D5A5381"/>
    <w:rsid w:val="65DE6F79"/>
    <w:rsid w:val="669965C3"/>
    <w:rsid w:val="6750712E"/>
    <w:rsid w:val="6B8F2D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2017-11-03T00:49:00Z</dcterms:created>
  <dc:creator>朱蕾</dc:creator>
  <cp:lastModifiedBy>朱蕾</cp:lastModifiedBy>
  <dcterms:modified xsi:type="dcterms:W3CDTF">2019-03-20T07:37:15Z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